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8EE1783" w:rsidR="007C2FEE" w:rsidRPr="00291FEF" w:rsidRDefault="00E734EC" w:rsidP="007C2FEE">
      <w:pPr>
        <w:pStyle w:val="Head"/>
      </w:pPr>
      <w:r w:rsidRPr="00291FEF">
        <w:t>Wirtgen</w:t>
      </w:r>
      <w:r w:rsidR="00C232C2" w:rsidRPr="00291FEF">
        <w:t xml:space="preserve"> │ </w:t>
      </w:r>
      <w:r w:rsidRPr="00291FEF">
        <w:t xml:space="preserve">Erweiterung der Ruta 5 von Montevideo bis zur brasilianischen Grenze </w:t>
      </w:r>
    </w:p>
    <w:p w14:paraId="34A89D42" w14:textId="59B1279B" w:rsidR="007C2FEE" w:rsidRPr="00291FEF" w:rsidRDefault="00E734EC" w:rsidP="007C2FEE">
      <w:pPr>
        <w:pStyle w:val="Subhead"/>
      </w:pPr>
      <w:r w:rsidRPr="00291FEF">
        <w:t>Erfolgreiche</w:t>
      </w:r>
      <w:r w:rsidR="000903BA" w:rsidRPr="00291FEF">
        <w:t xml:space="preserve">s Straßenbauprojekt </w:t>
      </w:r>
      <w:r w:rsidRPr="00291FEF">
        <w:t xml:space="preserve">in Uruguay mit effizienten </w:t>
      </w:r>
      <w:r w:rsidR="00FB3E58" w:rsidRPr="00FB3E58">
        <w:t xml:space="preserve">Wirtgen </w:t>
      </w:r>
      <w:r w:rsidRPr="00291FEF">
        <w:t xml:space="preserve">Lösungen </w:t>
      </w:r>
      <w:r w:rsidR="00FB3E58">
        <w:t>für den Betoneinbau</w:t>
      </w:r>
    </w:p>
    <w:p w14:paraId="212E61C5" w14:textId="580958BC" w:rsidR="00230B87" w:rsidRPr="00291FEF" w:rsidRDefault="00E734EC" w:rsidP="00230B87">
      <w:pPr>
        <w:pStyle w:val="Teaser"/>
      </w:pPr>
      <w:r w:rsidRPr="00291FEF">
        <w:t xml:space="preserve">In Montevideo beginnt eine der </w:t>
      </w:r>
      <w:r w:rsidR="00230B87" w:rsidRPr="00291FEF">
        <w:t>fünf</w:t>
      </w:r>
      <w:r w:rsidRPr="00291FEF">
        <w:t xml:space="preserve"> wichtigsten </w:t>
      </w:r>
      <w:r w:rsidR="00F72DEF" w:rsidRPr="00291FEF">
        <w:t>Nationalstraßen Uruguays</w:t>
      </w:r>
      <w:r w:rsidRPr="00291FEF">
        <w:t xml:space="preserve">, die bis </w:t>
      </w:r>
      <w:r w:rsidR="00230B87" w:rsidRPr="00291FEF">
        <w:t>in</w:t>
      </w:r>
      <w:r w:rsidR="00F72DEF" w:rsidRPr="00291FEF">
        <w:t>s</w:t>
      </w:r>
      <w:r w:rsidR="00230B87" w:rsidRPr="00291FEF">
        <w:t xml:space="preserve"> L</w:t>
      </w:r>
      <w:r w:rsidRPr="00291FEF">
        <w:t>andesinnere führen.</w:t>
      </w:r>
      <w:r w:rsidR="00230B87" w:rsidRPr="00291FEF">
        <w:t xml:space="preserve"> Die </w:t>
      </w:r>
      <w:r w:rsidR="00F72DEF" w:rsidRPr="00291FEF">
        <w:t>„fünf Finger“</w:t>
      </w:r>
      <w:r w:rsidR="00F72DEF" w:rsidRPr="00291FEF" w:rsidDel="00F72DEF">
        <w:t xml:space="preserve"> </w:t>
      </w:r>
      <w:r w:rsidR="00230B87" w:rsidRPr="00291FEF">
        <w:t>verbinden die größeren Ortschaften mit der Hauptstadt und sind die wichtigsten Transportwege des Landes. Eine davon ist die Ruta 5, die bis in den Norden an die brasilianische Grenze bei Rivera führt.</w:t>
      </w:r>
    </w:p>
    <w:p w14:paraId="088C0F2F" w14:textId="65E7B6EB" w:rsidR="00230B87" w:rsidRPr="00291FEF" w:rsidRDefault="00230B87" w:rsidP="00230B87">
      <w:pPr>
        <w:pStyle w:val="Standardabsatz"/>
      </w:pPr>
      <w:r w:rsidRPr="00291FEF">
        <w:t>Bisher gab es in jede Richtung nur eine Fahrspur</w:t>
      </w:r>
      <w:r w:rsidR="00773697" w:rsidRPr="00291FEF">
        <w:t>,</w:t>
      </w:r>
      <w:r w:rsidRPr="00291FEF">
        <w:t xml:space="preserve"> 75 km der Straße werden nun zweispurig ausgebaut. Die Arbeiten umfassen dabei den Bau der neuen Fahrbahn und die Instandsetzung der bestehenden Fahrbahndecke. Vier Unternehmen wurden mit den Bauarbeiten beauftragt. </w:t>
      </w:r>
      <w:r w:rsidR="00773697" w:rsidRPr="00291FEF">
        <w:t xml:space="preserve">Zum Einsatz kommen </w:t>
      </w:r>
      <w:r w:rsidR="007B688B">
        <w:t xml:space="preserve">u. a. </w:t>
      </w:r>
      <w:r w:rsidRPr="00291FEF">
        <w:t xml:space="preserve">drei </w:t>
      </w:r>
      <w:r w:rsidR="00134338">
        <w:t xml:space="preserve">Gleitschalungsfertiger </w:t>
      </w:r>
      <w:r w:rsidRPr="00291FEF">
        <w:t>SP</w:t>
      </w:r>
      <w:r w:rsidR="00134338">
        <w:t> </w:t>
      </w:r>
      <w:r w:rsidRPr="00291FEF">
        <w:t>64</w:t>
      </w:r>
      <w:r w:rsidR="00773697" w:rsidRPr="00291FEF">
        <w:t xml:space="preserve"> und </w:t>
      </w:r>
      <w:r w:rsidR="007B688B" w:rsidRPr="007B688B">
        <w:t>zwei</w:t>
      </w:r>
      <w:r w:rsidR="008B26C6" w:rsidRPr="007B688B">
        <w:t xml:space="preserve"> </w:t>
      </w:r>
      <w:r w:rsidRPr="00291FEF">
        <w:t xml:space="preserve">Nachbehandlungsgeräte TCM 180 </w:t>
      </w:r>
      <w:r w:rsidR="00134338">
        <w:t xml:space="preserve">von </w:t>
      </w:r>
      <w:r w:rsidR="00134338" w:rsidRPr="00134338">
        <w:t xml:space="preserve">Wirtgen </w:t>
      </w:r>
      <w:r w:rsidRPr="00291FEF">
        <w:t xml:space="preserve">sowie </w:t>
      </w:r>
      <w:r w:rsidR="00445D91" w:rsidRPr="00291FEF">
        <w:t>ein Kompaktlader JD 318G</w:t>
      </w:r>
      <w:r w:rsidR="00445D91" w:rsidRPr="00291FEF" w:rsidDel="00445D91">
        <w:t xml:space="preserve"> </w:t>
      </w:r>
      <w:r w:rsidR="00445D91" w:rsidRPr="00291FEF">
        <w:t xml:space="preserve">von </w:t>
      </w:r>
      <w:r w:rsidRPr="00291FEF">
        <w:t>John Deere</w:t>
      </w:r>
      <w:r w:rsidR="00445D91" w:rsidRPr="00291FEF">
        <w:t>.</w:t>
      </w:r>
      <w:r w:rsidRPr="00291FEF">
        <w:t xml:space="preserve"> </w:t>
      </w:r>
    </w:p>
    <w:p w14:paraId="6583AD4F" w14:textId="77777777" w:rsidR="0033422D" w:rsidRPr="00291FEF" w:rsidRDefault="0033422D" w:rsidP="0033422D">
      <w:pPr>
        <w:pStyle w:val="Teaserhead"/>
      </w:pPr>
      <w:r w:rsidRPr="00291FEF">
        <w:t>Optimierter Einbauprozess mit DBI</w:t>
      </w:r>
    </w:p>
    <w:p w14:paraId="7CC2B5CE" w14:textId="67C4D22C" w:rsidR="0033422D" w:rsidRPr="00291FEF" w:rsidRDefault="0033422D" w:rsidP="000903BA">
      <w:pPr>
        <w:pStyle w:val="Standardabsatz"/>
      </w:pPr>
      <w:r w:rsidRPr="00291FEF">
        <w:t xml:space="preserve">Beim Bau von Fahrbahnen aus Beton wird die Bewehrung, in Form von </w:t>
      </w:r>
      <w:proofErr w:type="spellStart"/>
      <w:r w:rsidRPr="00291FEF">
        <w:t>Dübelkörben</w:t>
      </w:r>
      <w:proofErr w:type="spellEnd"/>
      <w:r w:rsidRPr="00291FEF">
        <w:t xml:space="preserve"> oder Bewehrungsmatten, häufig vor der Maschine vorgelegt. </w:t>
      </w:r>
      <w:r w:rsidR="000903BA" w:rsidRPr="00291FEF">
        <w:t xml:space="preserve">Das wäre bei diesem Gelände </w:t>
      </w:r>
      <w:r w:rsidR="00773697" w:rsidRPr="00291FEF">
        <w:t xml:space="preserve">jedoch </w:t>
      </w:r>
      <w:r w:rsidR="000903BA" w:rsidRPr="00291FEF">
        <w:t xml:space="preserve">sehr zeitaufwändig. </w:t>
      </w:r>
      <w:r w:rsidRPr="00291FEF">
        <w:t xml:space="preserve">Das Vorlegen schränkt den Platz auf der Baustelle erheblich ein und erschwert das Manövrieren für Baustellenfahrzeuge. Die Anlieferung des Betons kann bei vorgelegter Bewehrung nur von der Seite erfolgen. </w:t>
      </w:r>
    </w:p>
    <w:p w14:paraId="6D480679" w14:textId="14F715BC" w:rsidR="000903BA" w:rsidRPr="00291FEF" w:rsidRDefault="0033422D" w:rsidP="000903BA">
      <w:pPr>
        <w:pStyle w:val="Standardabsatz"/>
      </w:pPr>
      <w:r w:rsidRPr="00291FEF">
        <w:t xml:space="preserve">Der Einsatz des integrierten </w:t>
      </w:r>
      <w:proofErr w:type="spellStart"/>
      <w:r w:rsidRPr="00291FEF">
        <w:t>Dübelsetzers</w:t>
      </w:r>
      <w:proofErr w:type="spellEnd"/>
      <w:r w:rsidRPr="00291FEF">
        <w:t xml:space="preserve"> </w:t>
      </w:r>
      <w:r w:rsidR="00773697" w:rsidRPr="00291FEF">
        <w:t>(</w:t>
      </w:r>
      <w:r w:rsidRPr="00291FEF">
        <w:t>DBI</w:t>
      </w:r>
      <w:r w:rsidR="00773697" w:rsidRPr="00291FEF">
        <w:t>)</w:t>
      </w:r>
      <w:r w:rsidRPr="00291FEF">
        <w:t xml:space="preserve"> am SP 64 bringt hier viele Vorteile. Auf der gesamten Breite werden Dübel und Längsfugenanker automatisiert eingesetzt. </w:t>
      </w:r>
      <w:r w:rsidR="00773697" w:rsidRPr="00291FEF">
        <w:t xml:space="preserve">Das erhöht die Prozesssicherheit, da sie immer exakt an der richtigen Stelle eingesetzt werden. </w:t>
      </w:r>
      <w:r w:rsidRPr="00291FEF">
        <w:t xml:space="preserve">Der Beton kann direkt vor der Maschine abgeladen und verteilt werden. Baustellenfahrzeuge, wie die Lkw zur Betonlieferung, haben mehr Platz zum Rangieren. </w:t>
      </w:r>
      <w:r w:rsidR="00FC72DA" w:rsidRPr="00291FEF">
        <w:t xml:space="preserve">„Die Maschine ermöglicht uns insgesamt eine viel höhere Produktionsleistung im Vergleich zu früher beim Betoneinbau mit Rüttelbohlen“, fasst Sebastián Trujillo, </w:t>
      </w:r>
      <w:r w:rsidR="007B688B" w:rsidRPr="007B688B">
        <w:t>Maschinenbediener</w:t>
      </w:r>
      <w:r w:rsidR="005F2C67" w:rsidRPr="007B688B">
        <w:t xml:space="preserve"> </w:t>
      </w:r>
      <w:r w:rsidR="007B688B">
        <w:t xml:space="preserve">bei </w:t>
      </w:r>
      <w:r w:rsidR="00FC72DA" w:rsidRPr="00291FEF">
        <w:t>R&amp;K – Berkes, die Vorzüge des SP 64 zusammen</w:t>
      </w:r>
    </w:p>
    <w:p w14:paraId="367A2502" w14:textId="5F510981" w:rsidR="000903BA" w:rsidRPr="00291FEF" w:rsidRDefault="000903BA" w:rsidP="000903BA">
      <w:pPr>
        <w:pStyle w:val="Teaserhead"/>
      </w:pPr>
      <w:r w:rsidRPr="00291FEF">
        <w:t>Modern</w:t>
      </w:r>
      <w:r w:rsidR="00A2622D" w:rsidRPr="00291FEF">
        <w:t>ste</w:t>
      </w:r>
      <w:r w:rsidRPr="00291FEF">
        <w:t xml:space="preserve"> Technologie</w:t>
      </w:r>
      <w:r w:rsidR="00A2622D" w:rsidRPr="00291FEF">
        <w:t>n</w:t>
      </w:r>
      <w:r w:rsidRPr="00291FEF">
        <w:t xml:space="preserve"> mit 3D-Steuerung</w:t>
      </w:r>
    </w:p>
    <w:p w14:paraId="06EA8E0E" w14:textId="77777777" w:rsidR="000903BA" w:rsidRPr="00291FEF" w:rsidRDefault="000903BA" w:rsidP="000903BA">
      <w:pPr>
        <w:pStyle w:val="Standardabsatz"/>
      </w:pPr>
      <w:r w:rsidRPr="00291FEF">
        <w:t xml:space="preserve">Traditionell erfolgt die Steuerung von </w:t>
      </w:r>
      <w:proofErr w:type="spellStart"/>
      <w:r w:rsidRPr="00291FEF">
        <w:t>Gleitschalungsfertigern</w:t>
      </w:r>
      <w:proofErr w:type="spellEnd"/>
      <w:r w:rsidRPr="00291FEF">
        <w:t xml:space="preserve"> mittels mechanischer Abtastung zuvor aufgestellter Leitdrähte. Bei der leitdrahtlosen 3D-Steuerung hingegen steht die Einbaustrecke innerhalb eines digitalen Geländemodells zur Verfügung. Am Gleitschalungsfertiger sind in der Regel zwei Prismen montiert, die in direkter Sichtverbindung zu je einer Totalstation stehen und deren Messstrahl reflektieren. Die Totalstation ermittelt dreidimensional die Position des Prismas und übermittelt sie an die Maschinensteuerung. In Kombination mit Neigungssensoren auf der Maschine lässt sich der Fertiger dadurch äußerst präzise in Höhe und Position steuern.</w:t>
      </w:r>
    </w:p>
    <w:p w14:paraId="09BA9604" w14:textId="77777777" w:rsidR="00425FCB" w:rsidRDefault="00425FCB">
      <w:pPr>
        <w:rPr>
          <w:rFonts w:eastAsiaTheme="minorHAnsi" w:cstheme="minorBidi"/>
          <w:b/>
          <w:sz w:val="22"/>
          <w:szCs w:val="24"/>
        </w:rPr>
      </w:pPr>
      <w:r>
        <w:br w:type="page"/>
      </w:r>
    </w:p>
    <w:p w14:paraId="79A33357" w14:textId="279B3E87" w:rsidR="000903BA" w:rsidRPr="00291FEF" w:rsidRDefault="000903BA" w:rsidP="000903BA">
      <w:pPr>
        <w:pStyle w:val="Teaserhead"/>
      </w:pPr>
      <w:r w:rsidRPr="00291FEF">
        <w:lastRenderedPageBreak/>
        <w:t>Mehr Platz auf der Baustelle</w:t>
      </w:r>
    </w:p>
    <w:p w14:paraId="6F5857C5" w14:textId="32261292" w:rsidR="000903BA" w:rsidRPr="00291FEF" w:rsidRDefault="000903BA" w:rsidP="000903BA">
      <w:pPr>
        <w:pStyle w:val="Standardabsatz"/>
      </w:pPr>
      <w:r w:rsidRPr="00291FEF">
        <w:t xml:space="preserve">Im Vergleich zur Steuerung per Leitdraht ergeben sich einige Vorteile. Das Einbauteam auf der Ruta 5 kann sich frei auf der Baustelle bewegen und den Maschinen steht mehr Platz zum Rangieren zur Verfügung. Außerdem müssen die Lkw zur Anlieferung des Betons keine Rücksicht auf einen Leitdraht nehmen. Sie können an jeder Stelle vor den Gleitschalungsfertiger fahren und das Material abladen. Das zeitaufwändige Umfahren des Drahtes zum Verlassen der Baustelle entfällt. Neben der optimierten Baustellenlogistik erwähnen die Verantwortlichen auch den guten IRI, den sie mit dem System erreichen. Der International </w:t>
      </w:r>
      <w:proofErr w:type="spellStart"/>
      <w:r w:rsidRPr="00291FEF">
        <w:t>Roughness</w:t>
      </w:r>
      <w:proofErr w:type="spellEnd"/>
      <w:r w:rsidRPr="00291FEF">
        <w:t xml:space="preserve"> Index (IRI) beschreibt die Planheit der Fahrbahnoberfläche.</w:t>
      </w:r>
    </w:p>
    <w:p w14:paraId="5C57A69E" w14:textId="7D3CB9F2" w:rsidR="00771705" w:rsidRPr="00291FEF" w:rsidRDefault="00771705" w:rsidP="00771705">
      <w:pPr>
        <w:pStyle w:val="Absatzberschrift"/>
      </w:pPr>
      <w:r w:rsidRPr="00291FEF">
        <w:t>Baustellenparameter</w:t>
      </w:r>
    </w:p>
    <w:p w14:paraId="7D8DC800" w14:textId="77777777" w:rsidR="00445D91" w:rsidRPr="00291FEF" w:rsidRDefault="00445D91" w:rsidP="00445D91">
      <w:pPr>
        <w:pStyle w:val="Teaserhead"/>
        <w:jc w:val="left"/>
        <w:rPr>
          <w:b w:val="0"/>
          <w:bCs/>
        </w:rPr>
      </w:pPr>
      <w:r w:rsidRPr="00291FEF">
        <w:rPr>
          <w:b w:val="0"/>
          <w:bCs/>
        </w:rPr>
        <w:t>Ausbau der bestehenden Straße von einer Fahrspur auf zwei. Bau der neuen Fahrbahn und Instandsetzung der bestehenden Fahrbahndecke.</w:t>
      </w:r>
      <w:r w:rsidR="00771705" w:rsidRPr="00291FEF">
        <w:rPr>
          <w:b w:val="0"/>
          <w:bCs/>
        </w:rPr>
        <w:br/>
      </w:r>
    </w:p>
    <w:p w14:paraId="7DC25F38" w14:textId="0DAB3E9D" w:rsidR="00771705" w:rsidRPr="00291FEF" w:rsidRDefault="00771705" w:rsidP="00771705">
      <w:pPr>
        <w:pStyle w:val="Teaserhead"/>
      </w:pPr>
      <w:r w:rsidRPr="00291FEF">
        <w:t>Maschinen im Einsatz</w:t>
      </w:r>
    </w:p>
    <w:p w14:paraId="6D3819B7" w14:textId="0164B8DF" w:rsidR="008B26C6" w:rsidRPr="00291FEF" w:rsidRDefault="00771705" w:rsidP="00771705">
      <w:pPr>
        <w:pStyle w:val="Standardabsatz"/>
        <w:jc w:val="left"/>
      </w:pPr>
      <w:r w:rsidRPr="00291FEF">
        <w:t xml:space="preserve">Wirtgen: </w:t>
      </w:r>
      <w:r w:rsidRPr="00291FEF">
        <w:br/>
        <w:t xml:space="preserve">3x </w:t>
      </w:r>
      <w:r w:rsidR="00612E24" w:rsidRPr="00291FEF">
        <w:t xml:space="preserve">Gleitschalungsfertiger </w:t>
      </w:r>
      <w:r w:rsidRPr="00291FEF">
        <w:t>SP 64 mi</w:t>
      </w:r>
      <w:r w:rsidR="00990DCE" w:rsidRPr="00291FEF">
        <w:t>t</w:t>
      </w:r>
      <w:r w:rsidRPr="00291FEF">
        <w:t xml:space="preserve"> DBI und STBI</w:t>
      </w:r>
      <w:r w:rsidRPr="00291FEF">
        <w:br/>
      </w:r>
      <w:r w:rsidRPr="007B688B">
        <w:t xml:space="preserve">2x </w:t>
      </w:r>
      <w:r w:rsidR="0018562C" w:rsidRPr="007B688B">
        <w:t>Nachbehandlungsgerät</w:t>
      </w:r>
      <w:r w:rsidR="0018562C" w:rsidRPr="00291FEF">
        <w:t xml:space="preserve"> </w:t>
      </w:r>
      <w:r w:rsidRPr="00291FEF">
        <w:t>TCM 180</w:t>
      </w:r>
      <w:r w:rsidRPr="00291FEF">
        <w:br/>
      </w:r>
      <w:r w:rsidRPr="00291FEF">
        <w:br/>
        <w:t>John Deer</w:t>
      </w:r>
      <w:r w:rsidR="00445D91" w:rsidRPr="00291FEF">
        <w:t>e</w:t>
      </w:r>
      <w:r w:rsidRPr="00291FEF">
        <w:t>:</w:t>
      </w:r>
      <w:r w:rsidRPr="00291FEF">
        <w:br/>
      </w:r>
      <w:r w:rsidR="00FE77DC" w:rsidRPr="00291FEF">
        <w:t xml:space="preserve">Kompaktlader </w:t>
      </w:r>
      <w:r w:rsidRPr="00291FEF">
        <w:t>JD 318G</w:t>
      </w:r>
    </w:p>
    <w:p w14:paraId="39182948" w14:textId="2FE53997" w:rsidR="00B94B16" w:rsidRPr="00291FEF" w:rsidRDefault="00771705" w:rsidP="00612E24">
      <w:pPr>
        <w:pStyle w:val="Standardabsatz"/>
        <w:jc w:val="left"/>
        <w:rPr>
          <w:b/>
          <w:bCs/>
        </w:rPr>
      </w:pPr>
      <w:r w:rsidRPr="00291FEF">
        <w:rPr>
          <w:b/>
          <w:bCs/>
        </w:rPr>
        <w:t>Baumaßnahme</w:t>
      </w:r>
      <w:r w:rsidR="00612E24" w:rsidRPr="00291FEF">
        <w:rPr>
          <w:b/>
          <w:bCs/>
        </w:rPr>
        <w:br/>
      </w:r>
      <w:r w:rsidRPr="00291FEF">
        <w:t>Gesamtlänge: 75 km</w:t>
      </w:r>
      <w:r w:rsidRPr="00291FEF">
        <w:br/>
        <w:t xml:space="preserve">Abschnitt 1: </w:t>
      </w:r>
      <w:proofErr w:type="spellStart"/>
      <w:r w:rsidRPr="00291FEF">
        <w:t>Peaje</w:t>
      </w:r>
      <w:proofErr w:type="spellEnd"/>
      <w:r w:rsidRPr="00291FEF">
        <w:t xml:space="preserve"> Mendoza – City </w:t>
      </w:r>
      <w:proofErr w:type="spellStart"/>
      <w:r w:rsidRPr="00291FEF">
        <w:t>of</w:t>
      </w:r>
      <w:proofErr w:type="spellEnd"/>
      <w:r w:rsidRPr="00291FEF">
        <w:t xml:space="preserve"> Flor</w:t>
      </w:r>
      <w:r w:rsidR="00B94B16" w:rsidRPr="00291FEF">
        <w:t>ida</w:t>
      </w:r>
      <w:r w:rsidR="00445D91" w:rsidRPr="00291FEF">
        <w:t>: 30 km</w:t>
      </w:r>
      <w:r w:rsidRPr="00291FEF">
        <w:br/>
      </w:r>
      <w:r w:rsidR="00B94B16" w:rsidRPr="00291FEF">
        <w:t xml:space="preserve">Abschnitt 2: City </w:t>
      </w:r>
      <w:proofErr w:type="spellStart"/>
      <w:r w:rsidR="00B94B16" w:rsidRPr="00291FEF">
        <w:t>of</w:t>
      </w:r>
      <w:proofErr w:type="spellEnd"/>
      <w:r w:rsidR="00B94B16" w:rsidRPr="00291FEF">
        <w:t xml:space="preserve"> Florida - </w:t>
      </w:r>
      <w:proofErr w:type="spellStart"/>
      <w:r w:rsidR="00B94B16" w:rsidRPr="00291FEF">
        <w:t>Sarandí</w:t>
      </w:r>
      <w:proofErr w:type="spellEnd"/>
      <w:r w:rsidR="00B94B16" w:rsidRPr="00291FEF">
        <w:t xml:space="preserve"> Grande</w:t>
      </w:r>
      <w:r w:rsidR="00445D91" w:rsidRPr="00291FEF">
        <w:t>: 45 km</w:t>
      </w:r>
    </w:p>
    <w:p w14:paraId="6652737F" w14:textId="52A56395" w:rsidR="00B94B16" w:rsidRPr="00291FEF" w:rsidRDefault="00B94B16" w:rsidP="00B94B16">
      <w:pPr>
        <w:pStyle w:val="Standardabsatz"/>
        <w:jc w:val="left"/>
        <w:rPr>
          <w:szCs w:val="22"/>
        </w:rPr>
      </w:pPr>
      <w:r w:rsidRPr="00291FEF">
        <w:rPr>
          <w:szCs w:val="22"/>
        </w:rPr>
        <w:t xml:space="preserve">Einbaubreite gesamt: 15,6 m </w:t>
      </w:r>
      <w:r w:rsidRPr="00291FEF">
        <w:rPr>
          <w:szCs w:val="22"/>
        </w:rPr>
        <w:br/>
        <w:t xml:space="preserve">Einbaubreite </w:t>
      </w:r>
      <w:proofErr w:type="spellStart"/>
      <w:r w:rsidRPr="00291FEF">
        <w:rPr>
          <w:szCs w:val="22"/>
        </w:rPr>
        <w:t>pro</w:t>
      </w:r>
      <w:proofErr w:type="spellEnd"/>
      <w:r w:rsidRPr="00291FEF">
        <w:rPr>
          <w:szCs w:val="22"/>
        </w:rPr>
        <w:t xml:space="preserve"> Bahn: 3,9 m bis 5 m </w:t>
      </w:r>
      <w:r w:rsidRPr="00291FEF">
        <w:rPr>
          <w:szCs w:val="22"/>
        </w:rPr>
        <w:br/>
        <w:t xml:space="preserve">Einbaudicke: 220 mm </w:t>
      </w:r>
      <w:r w:rsidRPr="00291FEF">
        <w:rPr>
          <w:szCs w:val="22"/>
        </w:rPr>
        <w:br/>
        <w:t xml:space="preserve">Maschinenintegriertes Einbringen von Bewehrung: Dübel, Anker </w:t>
      </w:r>
    </w:p>
    <w:p w14:paraId="53AB6EEF" w14:textId="77777777" w:rsidR="00230B87" w:rsidRPr="00291FEF" w:rsidRDefault="00230B87" w:rsidP="00230B87">
      <w:pPr>
        <w:pStyle w:val="Standardabsatz"/>
      </w:pPr>
    </w:p>
    <w:p w14:paraId="64ABBB85" w14:textId="024AAF51" w:rsidR="007C2FEE" w:rsidRPr="00291FEF" w:rsidRDefault="007C2FEE" w:rsidP="00BC487A">
      <w:pPr>
        <w:rPr>
          <w:b/>
          <w:bCs/>
          <w:sz w:val="22"/>
          <w:szCs w:val="22"/>
        </w:rPr>
      </w:pPr>
      <w:r w:rsidRPr="00291FEF">
        <w:rPr>
          <w:b/>
          <w:bCs/>
          <w:sz w:val="22"/>
          <w:szCs w:val="22"/>
        </w:rPr>
        <w:t>Fotos:</w:t>
      </w:r>
    </w:p>
    <w:p w14:paraId="06345839" w14:textId="77777777" w:rsidR="00BC487A" w:rsidRPr="00291FEF" w:rsidRDefault="00BC487A" w:rsidP="00BC487A">
      <w:pPr>
        <w:rPr>
          <w:rFonts w:eastAsiaTheme="minorHAnsi" w:cstheme="minorBidi"/>
          <w:b/>
          <w:sz w:val="22"/>
          <w:szCs w:val="24"/>
        </w:rPr>
      </w:pPr>
    </w:p>
    <w:p w14:paraId="5BFBF390" w14:textId="55CD3F13" w:rsidR="007C2FEE" w:rsidRPr="00291FEF" w:rsidRDefault="007C2FEE" w:rsidP="00BA7BC5">
      <w:pPr>
        <w:pStyle w:val="BUbold"/>
        <w:rPr>
          <w:b w:val="0"/>
          <w:bCs/>
        </w:rPr>
      </w:pPr>
      <w:r w:rsidRPr="00291FEF">
        <w:rPr>
          <w:noProof/>
          <w:lang w:eastAsia="en-GB"/>
        </w:rPr>
        <w:drawing>
          <wp:inline distT="0" distB="0" distL="0" distR="0" wp14:anchorId="622CC7EE" wp14:editId="01F700DB">
            <wp:extent cx="2404800" cy="1351268"/>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sidR="00BA7BC5" w:rsidRPr="00291FEF">
        <w:br/>
      </w:r>
      <w:r w:rsidR="0046343E" w:rsidRPr="00291FEF">
        <w:t>w_pic_js_montevideo_sp64_0041</w:t>
      </w:r>
      <w:r w:rsidR="00BA7BC5" w:rsidRPr="00291FEF">
        <w:br/>
      </w:r>
      <w:r w:rsidR="00445D91" w:rsidRPr="00291FEF">
        <w:rPr>
          <w:b w:val="0"/>
          <w:bCs/>
        </w:rPr>
        <w:t xml:space="preserve">Bei der Erweiterung der Ruta 5, einer der fünf wichtigsten Nationalstraßen in Uruguay, übernahmen Gleitschalungsfertiger und Nachbehandlungsgeräte von Wirtgen den präzisen Betoneinbau. </w:t>
      </w:r>
    </w:p>
    <w:p w14:paraId="10AF8B22" w14:textId="77777777" w:rsidR="000D357E" w:rsidRPr="00291FEF" w:rsidRDefault="000D357E" w:rsidP="000D357E">
      <w:pPr>
        <w:pStyle w:val="BUnormal"/>
      </w:pPr>
    </w:p>
    <w:p w14:paraId="6BBBB646" w14:textId="3DF99824" w:rsidR="007C2FEE" w:rsidRPr="00730EC2" w:rsidRDefault="007C2FEE" w:rsidP="007C2FEE">
      <w:pPr>
        <w:pStyle w:val="BUbold"/>
        <w:rPr>
          <w:lang w:val="en-US"/>
        </w:rPr>
      </w:pPr>
      <w:r w:rsidRPr="00291FEF">
        <w:rPr>
          <w:b w:val="0"/>
          <w:noProof/>
          <w:lang w:eastAsia="en-GB"/>
        </w:rPr>
        <w:lastRenderedPageBreak/>
        <w:drawing>
          <wp:inline distT="0" distB="0" distL="0" distR="0" wp14:anchorId="4C88ECF6" wp14:editId="077A82C2">
            <wp:extent cx="2404800" cy="135126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sidRPr="00730EC2">
        <w:rPr>
          <w:lang w:val="en-US"/>
        </w:rPr>
        <w:br/>
      </w:r>
      <w:r w:rsidR="0046343E" w:rsidRPr="00730EC2">
        <w:rPr>
          <w:lang w:val="en-US"/>
        </w:rPr>
        <w:t>w_pic_js_montevideo_SP64_0005</w:t>
      </w:r>
    </w:p>
    <w:p w14:paraId="1622A5FE" w14:textId="77777777" w:rsidR="00103F20" w:rsidRPr="00291FEF" w:rsidRDefault="00A930D1" w:rsidP="00E020B4">
      <w:pPr>
        <w:pStyle w:val="BUnormal"/>
      </w:pPr>
      <w:r w:rsidRPr="00291FEF">
        <w:t xml:space="preserve">Dank integriertem </w:t>
      </w:r>
      <w:proofErr w:type="spellStart"/>
      <w:r w:rsidR="002A6B6E" w:rsidRPr="00291FEF">
        <w:t>Dübelsetzer</w:t>
      </w:r>
      <w:proofErr w:type="spellEnd"/>
      <w:r w:rsidR="002A6B6E" w:rsidRPr="00291FEF">
        <w:t xml:space="preserve"> </w:t>
      </w:r>
      <w:r w:rsidRPr="00291FEF">
        <w:t xml:space="preserve">setzt der SP 64 die Dübel und Längsfugenanker automatisiert und präzise ein, nachdem der Kompaktlader JD 318G den Beton vorab gleichmäßig vor dem Gleitschalungsfertiger verteilt hat.  </w:t>
      </w:r>
    </w:p>
    <w:p w14:paraId="4941D6EA" w14:textId="2B4E678F" w:rsidR="00022EC1" w:rsidRDefault="007C2FEE" w:rsidP="000E4862">
      <w:pPr>
        <w:pStyle w:val="BUbold"/>
        <w:rPr>
          <w:b w:val="0"/>
          <w:bCs/>
        </w:rPr>
      </w:pPr>
      <w:r w:rsidRPr="00291FEF">
        <w:br/>
      </w:r>
      <w:r w:rsidR="0019766C" w:rsidRPr="00291FEF">
        <w:rPr>
          <w:noProof/>
          <w:lang w:eastAsia="en-GB"/>
        </w:rPr>
        <w:drawing>
          <wp:inline distT="0" distB="0" distL="0" distR="0" wp14:anchorId="6AF72915" wp14:editId="76766B05">
            <wp:extent cx="2404800" cy="1351268"/>
            <wp:effectExtent l="0" t="0" r="0" b="0"/>
            <wp:docPr id="2078438314" name="Grafik 2078438314" descr="Ein Bild, das Himmel, draußen, Wolke,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438314" name="Grafik 2078438314" descr="Ein Bild, das Himmel, draußen, Wolke, Baum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sidR="0019766C" w:rsidRPr="00291FEF">
        <w:br/>
        <w:t>w_pic_js_montevideo_sp64_0039</w:t>
      </w:r>
      <w:r w:rsidR="0019766C" w:rsidRPr="00291FEF">
        <w:br/>
      </w:r>
      <w:r w:rsidR="000064D7" w:rsidRPr="00291FEF">
        <w:rPr>
          <w:b w:val="0"/>
          <w:bCs/>
        </w:rPr>
        <w:t>Das Nachbehandlungsgerät TCM 180 fährt direkt hinter dem SP 64 und sorgt bei der Betondecke für die gewünschte Oberflächenstruktur. Das gleichzeitige Aufsprühen von Dispersion verhindert zudem das frühzeitige Austrocknen der Fläche und Kanten.</w:t>
      </w:r>
    </w:p>
    <w:p w14:paraId="1885D55E" w14:textId="77777777" w:rsidR="00425FCB" w:rsidRPr="00425FCB" w:rsidRDefault="00425FCB" w:rsidP="00425FCB">
      <w:pPr>
        <w:pStyle w:val="BUnormal"/>
      </w:pPr>
    </w:p>
    <w:p w14:paraId="37C31272" w14:textId="08003AFF" w:rsidR="00425FCB" w:rsidRPr="00291FEF" w:rsidRDefault="008E5008" w:rsidP="00425FCB">
      <w:pPr>
        <w:pStyle w:val="BUbold"/>
        <w:rPr>
          <w:b w:val="0"/>
          <w:noProof/>
          <w:lang w:eastAsia="en-GB"/>
        </w:rPr>
      </w:pPr>
      <w:r w:rsidRPr="00291FEF">
        <w:rPr>
          <w:noProof/>
          <w:lang w:eastAsia="en-GB"/>
        </w:rPr>
        <w:drawing>
          <wp:inline distT="0" distB="0" distL="0" distR="0" wp14:anchorId="0BE40BC7" wp14:editId="451B0B7E">
            <wp:extent cx="2402344" cy="1351268"/>
            <wp:effectExtent l="0" t="0" r="0" b="1905"/>
            <wp:docPr id="188047633" name="Grafik 188047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47633" name="Grafik 188047633"/>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2344" cy="1351268"/>
                    </a:xfrm>
                    <a:prstGeom prst="rect">
                      <a:avLst/>
                    </a:prstGeom>
                    <a:noFill/>
                    <a:ln>
                      <a:noFill/>
                    </a:ln>
                  </pic:spPr>
                </pic:pic>
              </a:graphicData>
            </a:graphic>
          </wp:inline>
        </w:drawing>
      </w:r>
    </w:p>
    <w:p w14:paraId="51A76DCA" w14:textId="79E7A18D" w:rsidR="00425FCB" w:rsidRPr="00730EC2" w:rsidRDefault="00425FCB" w:rsidP="00425FCB">
      <w:pPr>
        <w:pStyle w:val="BUbold"/>
        <w:rPr>
          <w:bCs/>
          <w:noProof/>
          <w:lang w:val="en-US" w:eastAsia="en-GB"/>
        </w:rPr>
      </w:pPr>
      <w:r w:rsidRPr="00730EC2">
        <w:rPr>
          <w:bCs/>
          <w:noProof/>
          <w:lang w:val="en-US" w:eastAsia="en-GB"/>
        </w:rPr>
        <w:t>w_pic_js_montevideo_sp64_0045</w:t>
      </w:r>
    </w:p>
    <w:p w14:paraId="1F2BB813" w14:textId="2A818484" w:rsidR="00425FCB" w:rsidRDefault="00425FCB" w:rsidP="00425FCB">
      <w:pPr>
        <w:pStyle w:val="BUbold"/>
        <w:rPr>
          <w:b w:val="0"/>
          <w:noProof/>
          <w:lang w:eastAsia="en-GB"/>
        </w:rPr>
      </w:pPr>
      <w:r w:rsidRPr="00291FEF">
        <w:rPr>
          <w:b w:val="0"/>
          <w:noProof/>
          <w:lang w:eastAsia="en-GB"/>
        </w:rPr>
        <w:t xml:space="preserve">Jahuer Flores, </w:t>
      </w:r>
      <w:r w:rsidRPr="007B688B">
        <w:rPr>
          <w:b w:val="0"/>
          <w:noProof/>
          <w:lang w:eastAsia="en-GB"/>
        </w:rPr>
        <w:t>Vorarbe</w:t>
      </w:r>
      <w:r w:rsidR="00730EC2">
        <w:rPr>
          <w:b w:val="0"/>
          <w:noProof/>
          <w:lang w:eastAsia="en-GB"/>
        </w:rPr>
        <w:t>i</w:t>
      </w:r>
      <w:r w:rsidRPr="007B688B">
        <w:rPr>
          <w:b w:val="0"/>
          <w:noProof/>
          <w:lang w:eastAsia="en-GB"/>
        </w:rPr>
        <w:t>ter bei Berkes</w:t>
      </w:r>
      <w:r w:rsidRPr="00291FEF">
        <w:rPr>
          <w:b w:val="0"/>
          <w:noProof/>
          <w:lang w:eastAsia="en-GB"/>
        </w:rPr>
        <w:t>-Pietroboni, sieht Vorteile durch die leitdrahtlose 3D-Steuerung: „Damit ist es einfacher, die Maschine entsprechend der Pläne zu steuern und die Arbeit selbst ist komfortabler, weil auf der Baustelle mehr Platz ist. Auch im Hinblick auf den IRI haben wir mit dem 3D-System gute Erfahrungen gemacht.“ </w:t>
      </w:r>
    </w:p>
    <w:p w14:paraId="2B4B8033" w14:textId="77777777" w:rsidR="008B26C6" w:rsidRDefault="008B26C6" w:rsidP="00A96B2E">
      <w:pPr>
        <w:pStyle w:val="Note"/>
        <w:rPr>
          <w:lang w:eastAsia="de-DE"/>
        </w:rPr>
      </w:pPr>
    </w:p>
    <w:p w14:paraId="67E83AFA" w14:textId="47769554" w:rsidR="00980313" w:rsidRPr="00291FEF" w:rsidRDefault="00714D6B" w:rsidP="00A96B2E">
      <w:pPr>
        <w:pStyle w:val="Note"/>
        <w:rPr>
          <w:lang w:eastAsia="de-DE"/>
        </w:rPr>
      </w:pPr>
      <w:r w:rsidRPr="00291FEF">
        <w:rPr>
          <w:lang w:eastAsia="de-DE"/>
        </w:rPr>
        <w:t xml:space="preserve">Hinweis: Diese Fotos dienen lediglich der Voransicht. Für den </w:t>
      </w:r>
      <w:r w:rsidRPr="00291FEF">
        <w:t>Abdruck</w:t>
      </w:r>
      <w:r w:rsidRPr="00291FEF">
        <w:rPr>
          <w:lang w:eastAsia="de-DE"/>
        </w:rPr>
        <w:t xml:space="preserve"> in den Publikationen nutzen Sie bitte die Fotos in 300 dpi-Auflösung, die in beigefügtem Download zur Verfügung stehen.</w:t>
      </w:r>
    </w:p>
    <w:p w14:paraId="0D8FDCDA" w14:textId="77777777" w:rsidR="008B26C6" w:rsidRDefault="008B26C6">
      <w:pPr>
        <w:rPr>
          <w:rFonts w:eastAsiaTheme="minorHAnsi" w:cstheme="minorBidi"/>
          <w:b/>
          <w:sz w:val="22"/>
          <w:szCs w:val="24"/>
          <w:lang w:eastAsia="de-DE"/>
        </w:rPr>
      </w:pPr>
      <w:r>
        <w:rPr>
          <w:lang w:eastAsia="de-DE"/>
        </w:rPr>
        <w:br w:type="page"/>
      </w:r>
    </w:p>
    <w:p w14:paraId="0F27FC03" w14:textId="75F33046" w:rsidR="00B94B16" w:rsidRPr="00291FEF" w:rsidRDefault="00B94B16" w:rsidP="00B94B16">
      <w:pPr>
        <w:pStyle w:val="Teaserhead"/>
        <w:rPr>
          <w:lang w:eastAsia="de-DE"/>
        </w:rPr>
      </w:pPr>
      <w:r w:rsidRPr="00291FEF">
        <w:rPr>
          <w:lang w:eastAsia="de-DE"/>
        </w:rPr>
        <w:lastRenderedPageBreak/>
        <w:t>Video:</w:t>
      </w:r>
    </w:p>
    <w:p w14:paraId="500327D4" w14:textId="77777777" w:rsidR="00B94B16" w:rsidRPr="00291FEF" w:rsidRDefault="00B94B16" w:rsidP="00B94B16">
      <w:pPr>
        <w:pStyle w:val="Teaserhead"/>
        <w:rPr>
          <w:lang w:eastAsia="de-DE"/>
        </w:rPr>
      </w:pPr>
    </w:p>
    <w:p w14:paraId="576BDAC2" w14:textId="218E5D69" w:rsidR="00B94B16" w:rsidRPr="00F12ABF" w:rsidRDefault="00B94B16" w:rsidP="00B94B16">
      <w:pPr>
        <w:pStyle w:val="Teaserhead"/>
        <w:rPr>
          <w:color w:val="0070C0"/>
          <w:sz w:val="20"/>
          <w:szCs w:val="20"/>
          <w:lang w:eastAsia="de-DE"/>
        </w:rPr>
      </w:pPr>
      <w:r w:rsidRPr="00291FEF">
        <w:rPr>
          <w:noProof/>
          <w:lang w:eastAsia="de-DE"/>
        </w:rPr>
        <w:drawing>
          <wp:inline distT="0" distB="0" distL="0" distR="0" wp14:anchorId="57893D9B" wp14:editId="52BEA9FA">
            <wp:extent cx="2404800" cy="1352700"/>
            <wp:effectExtent l="0" t="0" r="0" b="0"/>
            <wp:docPr id="885882716"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882716" name="Grafik 7"/>
                    <pic:cNvPicPr/>
                  </pic:nvPicPr>
                  <pic:blipFill>
                    <a:blip r:embed="rId12" cstate="hqprint">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r w:rsidRPr="00291FEF">
        <w:rPr>
          <w:lang w:eastAsia="de-DE"/>
        </w:rPr>
        <w:t xml:space="preserve"> </w:t>
      </w:r>
      <w:hyperlink r:id="rId13" w:history="1">
        <w:r w:rsidR="00734DA4" w:rsidRPr="00F12ABF">
          <w:rPr>
            <w:rStyle w:val="Hyperlink"/>
            <w:bCs/>
            <w:iCs/>
            <w:color w:val="0070C0"/>
            <w:sz w:val="20"/>
            <w:szCs w:val="20"/>
          </w:rPr>
          <w:t>Um das Video zu sehen, klicken Sie bitte hier</w:t>
        </w:r>
      </w:hyperlink>
      <w:r w:rsidR="00734DA4" w:rsidRPr="00F12ABF">
        <w:rPr>
          <w:bCs/>
          <w:iCs/>
          <w:color w:val="0070C0"/>
          <w:sz w:val="20"/>
          <w:szCs w:val="20"/>
        </w:rPr>
        <w:t>.</w:t>
      </w:r>
    </w:p>
    <w:p w14:paraId="368AF36F" w14:textId="77777777" w:rsidR="008B26C6" w:rsidRPr="00F12ABF" w:rsidRDefault="008B26C6" w:rsidP="00B409DF">
      <w:pPr>
        <w:pStyle w:val="Absatzberschrift"/>
        <w:rPr>
          <w:b w:val="0"/>
          <w:bCs/>
          <w:iCs/>
        </w:rPr>
      </w:pPr>
    </w:p>
    <w:p w14:paraId="62DA7C1A" w14:textId="77777777" w:rsidR="00F12ABF" w:rsidRPr="00F12ABF" w:rsidRDefault="00F12ABF" w:rsidP="00F12ABF">
      <w:pPr>
        <w:pStyle w:val="Standardabsatz"/>
        <w:rPr>
          <w:bCs/>
        </w:rPr>
      </w:pPr>
    </w:p>
    <w:bookmarkStart w:id="0" w:name="_Hlk177486135"/>
    <w:p w14:paraId="07415B82" w14:textId="4797ABB2" w:rsidR="008B26C6" w:rsidRPr="00F12ABF" w:rsidRDefault="00734DA4" w:rsidP="00B409DF">
      <w:pPr>
        <w:pStyle w:val="Absatzberschrift"/>
        <w:rPr>
          <w:iCs/>
          <w:color w:val="0070C0"/>
        </w:rPr>
      </w:pPr>
      <w:r w:rsidRPr="00F12ABF">
        <w:rPr>
          <w:color w:val="0070C0"/>
        </w:rPr>
        <w:fldChar w:fldCharType="begin"/>
      </w:r>
      <w:r w:rsidRPr="00F12ABF">
        <w:rPr>
          <w:color w:val="0070C0"/>
        </w:rPr>
        <w:instrText>HYPERLINK "https://www.youtube.com/@WirtgenGroup"</w:instrText>
      </w:r>
      <w:r w:rsidRPr="00F12ABF">
        <w:rPr>
          <w:color w:val="0070C0"/>
        </w:rPr>
      </w:r>
      <w:r w:rsidRPr="00F12ABF">
        <w:rPr>
          <w:color w:val="0070C0"/>
        </w:rPr>
        <w:fldChar w:fldCharType="separate"/>
      </w:r>
      <w:r w:rsidRPr="00F12ABF">
        <w:rPr>
          <w:iCs/>
          <w:color w:val="0070C0"/>
          <w:sz w:val="20"/>
          <w:szCs w:val="20"/>
          <w:u w:val="single"/>
        </w:rPr>
        <w:t>Mehr Videos finden Sie auf dem YouTube Channel der Wirtgen Group</w:t>
      </w:r>
      <w:r w:rsidRPr="00F12ABF">
        <w:rPr>
          <w:iCs/>
          <w:color w:val="0070C0"/>
          <w:sz w:val="20"/>
          <w:szCs w:val="20"/>
          <w:u w:val="single"/>
        </w:rPr>
        <w:fldChar w:fldCharType="end"/>
      </w:r>
      <w:r w:rsidR="00F12ABF">
        <w:rPr>
          <w:iCs/>
          <w:color w:val="0070C0"/>
          <w:sz w:val="20"/>
          <w:szCs w:val="20"/>
          <w:u w:val="single"/>
        </w:rPr>
        <w:t>.</w:t>
      </w:r>
    </w:p>
    <w:bookmarkEnd w:id="0"/>
    <w:p w14:paraId="135CFD61" w14:textId="77777777" w:rsidR="008B26C6" w:rsidRPr="00F12ABF" w:rsidRDefault="008B26C6" w:rsidP="00B409DF">
      <w:pPr>
        <w:pStyle w:val="Absatzberschrift"/>
        <w:rPr>
          <w:b w:val="0"/>
          <w:bCs/>
          <w:iCs/>
        </w:rPr>
      </w:pPr>
    </w:p>
    <w:p w14:paraId="2CB7353E" w14:textId="77777777" w:rsidR="00734DA4" w:rsidRPr="00F12ABF" w:rsidRDefault="00734DA4" w:rsidP="00B409DF">
      <w:pPr>
        <w:pStyle w:val="Absatzberschrift"/>
        <w:rPr>
          <w:b w:val="0"/>
          <w:bCs/>
          <w:iCs/>
        </w:rPr>
      </w:pPr>
    </w:p>
    <w:p w14:paraId="249FB0A6" w14:textId="77777777" w:rsidR="00734DA4" w:rsidRPr="00F12ABF" w:rsidRDefault="00734DA4" w:rsidP="00734DA4">
      <w:pPr>
        <w:pStyle w:val="Standardabsatz"/>
        <w:rPr>
          <w:bCs/>
        </w:rPr>
      </w:pPr>
    </w:p>
    <w:p w14:paraId="717825D0" w14:textId="189F2766" w:rsidR="00B409DF" w:rsidRPr="00291FEF" w:rsidRDefault="00B409DF" w:rsidP="00B409DF">
      <w:pPr>
        <w:pStyle w:val="Absatzberschrift"/>
        <w:rPr>
          <w:iCs/>
        </w:rPr>
      </w:pPr>
      <w:r w:rsidRPr="00291FEF">
        <w:rPr>
          <w:iCs/>
        </w:rPr>
        <w:t>Weitere Informationen erhalten Sie bei:</w:t>
      </w:r>
    </w:p>
    <w:p w14:paraId="294F8CA8" w14:textId="77777777" w:rsidR="00B409DF" w:rsidRPr="00291FEF" w:rsidRDefault="00B409DF" w:rsidP="00B409DF">
      <w:pPr>
        <w:pStyle w:val="Absatzberschrift"/>
      </w:pPr>
    </w:p>
    <w:p w14:paraId="6BD3D8AD" w14:textId="77777777" w:rsidR="00B409DF" w:rsidRPr="00291FEF" w:rsidRDefault="00B409DF" w:rsidP="00B409DF">
      <w:pPr>
        <w:pStyle w:val="Absatzberschrift"/>
        <w:rPr>
          <w:b w:val="0"/>
          <w:bCs/>
          <w:szCs w:val="22"/>
        </w:rPr>
      </w:pPr>
      <w:r w:rsidRPr="00291FEF">
        <w:rPr>
          <w:b w:val="0"/>
          <w:bCs/>
        </w:rPr>
        <w:t>WIRTGEN GROUP</w:t>
      </w:r>
    </w:p>
    <w:p w14:paraId="392C6846" w14:textId="77777777" w:rsidR="00B409DF" w:rsidRPr="00291FEF" w:rsidRDefault="00B409DF" w:rsidP="00B409DF">
      <w:pPr>
        <w:pStyle w:val="Fuzeile1"/>
      </w:pPr>
      <w:r w:rsidRPr="00291FEF">
        <w:t>Public Relations</w:t>
      </w:r>
    </w:p>
    <w:p w14:paraId="77A90FFB" w14:textId="77777777" w:rsidR="00B409DF" w:rsidRPr="00291FEF" w:rsidRDefault="00B409DF" w:rsidP="00B409DF">
      <w:pPr>
        <w:pStyle w:val="Fuzeile1"/>
      </w:pPr>
      <w:r w:rsidRPr="00291FEF">
        <w:t>Reinhard-Wirtgen-Straße 2</w:t>
      </w:r>
    </w:p>
    <w:p w14:paraId="2BD7061F" w14:textId="77777777" w:rsidR="00B409DF" w:rsidRPr="00291FEF" w:rsidRDefault="00B409DF" w:rsidP="00B409DF">
      <w:pPr>
        <w:pStyle w:val="Fuzeile1"/>
      </w:pPr>
      <w:r w:rsidRPr="00291FEF">
        <w:t>53578 Windhagen</w:t>
      </w:r>
    </w:p>
    <w:p w14:paraId="7312A980" w14:textId="77777777" w:rsidR="00B409DF" w:rsidRPr="00291FEF" w:rsidRDefault="00B409DF" w:rsidP="00B409DF">
      <w:pPr>
        <w:pStyle w:val="Fuzeile1"/>
      </w:pPr>
      <w:r w:rsidRPr="00291FEF">
        <w:t>Deutschland</w:t>
      </w:r>
    </w:p>
    <w:p w14:paraId="2DFD9654" w14:textId="77777777" w:rsidR="00B409DF" w:rsidRPr="00291FEF" w:rsidRDefault="00B409DF" w:rsidP="00B409DF">
      <w:pPr>
        <w:pStyle w:val="Fuzeile1"/>
      </w:pPr>
    </w:p>
    <w:p w14:paraId="72EBA31D" w14:textId="48B0CA4B" w:rsidR="00B409DF" w:rsidRPr="00291FEF" w:rsidRDefault="00B409DF" w:rsidP="00B409DF">
      <w:pPr>
        <w:pStyle w:val="Fuzeile1"/>
      </w:pPr>
      <w:r w:rsidRPr="00291FEF">
        <w:t>Telefon: +49 (0) 2645 131 – 1966</w:t>
      </w:r>
      <w:r w:rsidR="00B71DE1">
        <w:br/>
      </w:r>
      <w:r w:rsidRPr="00291FEF">
        <w:t>Telefax: +49 (0) 2645 131 – 499</w:t>
      </w:r>
    </w:p>
    <w:p w14:paraId="54DD8925" w14:textId="509654B4" w:rsidR="00B409DF" w:rsidRPr="00291FEF" w:rsidRDefault="00B409DF" w:rsidP="00B409DF">
      <w:pPr>
        <w:pStyle w:val="Fuzeile1"/>
      </w:pPr>
      <w:r w:rsidRPr="00291FEF">
        <w:t xml:space="preserve">E-Mail: </w:t>
      </w:r>
      <w:r w:rsidR="00980313" w:rsidRPr="00291FEF">
        <w:t>PR@wirtgen-group.com</w:t>
      </w:r>
    </w:p>
    <w:p w14:paraId="51E322C9" w14:textId="77777777" w:rsidR="00B409DF" w:rsidRPr="00291FEF" w:rsidRDefault="00B409DF" w:rsidP="00B409DF">
      <w:pPr>
        <w:pStyle w:val="Fuzeile1"/>
        <w:rPr>
          <w:vanish/>
        </w:rPr>
      </w:pPr>
    </w:p>
    <w:p w14:paraId="11BA6AC4" w14:textId="77777777" w:rsidR="00B409DF" w:rsidRPr="00291FEF" w:rsidRDefault="00B409DF" w:rsidP="00B409DF">
      <w:pPr>
        <w:pStyle w:val="Fuzeile1"/>
      </w:pPr>
      <w:r w:rsidRPr="00291FEF">
        <w:t>www.wirtgen-group.com</w:t>
      </w:r>
    </w:p>
    <w:p w14:paraId="2A29322A" w14:textId="77777777" w:rsidR="00B409DF" w:rsidRPr="00F12ABF" w:rsidRDefault="00B409DF" w:rsidP="00541C9E">
      <w:pPr>
        <w:pStyle w:val="Absatzberschrift"/>
        <w:rPr>
          <w:b w:val="0"/>
          <w:bCs/>
          <w:iCs/>
        </w:rPr>
      </w:pPr>
    </w:p>
    <w:p w14:paraId="1AA2C54F" w14:textId="77777777" w:rsidR="00B409DF" w:rsidRPr="00F12ABF" w:rsidRDefault="00B409DF" w:rsidP="00541C9E">
      <w:pPr>
        <w:pStyle w:val="Absatzberschrift"/>
        <w:rPr>
          <w:b w:val="0"/>
          <w:bCs/>
          <w:iCs/>
        </w:rPr>
      </w:pPr>
    </w:p>
    <w:p w14:paraId="3D604A55" w14:textId="179BBC00" w:rsidR="00F048D4" w:rsidRPr="00F12ABF" w:rsidRDefault="00F048D4" w:rsidP="00F74540">
      <w:pPr>
        <w:pStyle w:val="Fuzeile1"/>
      </w:pPr>
    </w:p>
    <w:sectPr w:rsidR="00F048D4" w:rsidRPr="00F12ABF" w:rsidSect="00CA4A09">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37BA7" w14:textId="77777777" w:rsidR="004F7C79" w:rsidRDefault="004F7C79" w:rsidP="00E55534">
      <w:r>
        <w:separator/>
      </w:r>
    </w:p>
  </w:endnote>
  <w:endnote w:type="continuationSeparator" w:id="0">
    <w:p w14:paraId="01FBFA87" w14:textId="77777777" w:rsidR="004F7C79" w:rsidRDefault="004F7C7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2EFEE" w14:textId="77777777" w:rsidR="004F7C79" w:rsidRDefault="004F7C79" w:rsidP="00E55534">
      <w:r>
        <w:separator/>
      </w:r>
    </w:p>
  </w:footnote>
  <w:footnote w:type="continuationSeparator" w:id="0">
    <w:p w14:paraId="333DA920" w14:textId="77777777" w:rsidR="004F7C79" w:rsidRDefault="004F7C7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D35AE53" w:rsidR="000278CB" w:rsidRDefault="007B688B">
    <w:pPr>
      <w:pStyle w:val="Kopfzeile"/>
    </w:pPr>
    <w:r>
      <w:rPr>
        <w:noProof/>
      </w:rPr>
      <mc:AlternateContent>
        <mc:Choice Requires="wps">
          <w:drawing>
            <wp:anchor distT="0" distB="0" distL="0" distR="0" simplePos="0" relativeHeight="251661312" behindDoc="0" locked="0" layoutInCell="1" allowOverlap="1" wp14:anchorId="4F6D6B76" wp14:editId="368A4F40">
              <wp:simplePos x="635" y="635"/>
              <wp:positionH relativeFrom="page">
                <wp:align>right</wp:align>
              </wp:positionH>
              <wp:positionV relativeFrom="page">
                <wp:align>top</wp:align>
              </wp:positionV>
              <wp:extent cx="443865" cy="443865"/>
              <wp:effectExtent l="0" t="0" r="0" b="16510"/>
              <wp:wrapNone/>
              <wp:docPr id="138487482"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13B42" w14:textId="4DFB5401" w:rsidR="007B688B" w:rsidRPr="007B688B" w:rsidRDefault="007B688B" w:rsidP="007B688B">
                          <w:pPr>
                            <w:rPr>
                              <w:rFonts w:ascii="Calibri" w:eastAsia="Calibri" w:hAnsi="Calibri" w:cs="Calibri"/>
                              <w:noProof/>
                              <w:color w:val="FF0000"/>
                              <w:sz w:val="20"/>
                              <w:szCs w:val="20"/>
                            </w:rPr>
                          </w:pPr>
                          <w:r w:rsidRPr="007B688B">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F6D6B76"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7713B42" w14:textId="4DFB5401" w:rsidR="007B688B" w:rsidRPr="007B688B" w:rsidRDefault="007B688B" w:rsidP="007B688B">
                    <w:pPr>
                      <w:rPr>
                        <w:rFonts w:ascii="Calibri" w:eastAsia="Calibri" w:hAnsi="Calibri" w:cs="Calibri"/>
                        <w:noProof/>
                        <w:color w:val="FF0000"/>
                        <w:sz w:val="20"/>
                        <w:szCs w:val="20"/>
                      </w:rPr>
                    </w:pPr>
                    <w:r w:rsidRPr="007B688B">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6642971" w:rsidR="00533132" w:rsidRPr="00533132" w:rsidRDefault="007B688B" w:rsidP="00533132">
    <w:pPr>
      <w:pStyle w:val="Kopfzeile"/>
    </w:pPr>
    <w:r>
      <w:rPr>
        <w:noProof/>
      </w:rPr>
      <mc:AlternateContent>
        <mc:Choice Requires="wps">
          <w:drawing>
            <wp:anchor distT="0" distB="0" distL="0" distR="0" simplePos="0" relativeHeight="251662336" behindDoc="0" locked="0" layoutInCell="1" allowOverlap="1" wp14:anchorId="6B96A33F" wp14:editId="71D1317F">
              <wp:simplePos x="752475" y="447675"/>
              <wp:positionH relativeFrom="page">
                <wp:align>right</wp:align>
              </wp:positionH>
              <wp:positionV relativeFrom="page">
                <wp:align>top</wp:align>
              </wp:positionV>
              <wp:extent cx="443865" cy="443865"/>
              <wp:effectExtent l="0" t="0" r="0" b="16510"/>
              <wp:wrapNone/>
              <wp:docPr id="118208061"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91AC6B" w14:textId="56904442" w:rsidR="007B688B" w:rsidRPr="007B688B" w:rsidRDefault="007B688B" w:rsidP="007B688B">
                          <w:pPr>
                            <w:rPr>
                              <w:rFonts w:ascii="Calibri" w:eastAsia="Calibri" w:hAnsi="Calibri" w:cs="Calibri"/>
                              <w:noProof/>
                              <w:color w:val="FF0000"/>
                              <w:sz w:val="20"/>
                              <w:szCs w:val="20"/>
                            </w:rPr>
                          </w:pPr>
                          <w:r w:rsidRPr="007B688B">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96A33F"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391AC6B" w14:textId="56904442" w:rsidR="007B688B" w:rsidRPr="007B688B" w:rsidRDefault="007B688B" w:rsidP="007B688B">
                    <w:pPr>
                      <w:rPr>
                        <w:rFonts w:ascii="Calibri" w:eastAsia="Calibri" w:hAnsi="Calibri" w:cs="Calibri"/>
                        <w:noProof/>
                        <w:color w:val="FF0000"/>
                        <w:sz w:val="20"/>
                        <w:szCs w:val="20"/>
                      </w:rPr>
                    </w:pPr>
                    <w:r w:rsidRPr="007B688B">
                      <w:rPr>
                        <w:rFonts w:ascii="Calibri" w:eastAsia="Calibri" w:hAnsi="Calibri" w:cs="Calibri"/>
                        <w:noProof/>
                        <w:color w:val="FF0000"/>
                        <w:sz w:val="20"/>
                        <w:szCs w:val="20"/>
                      </w:rPr>
                      <w:t>Public</w:t>
                    </w:r>
                  </w:p>
                </w:txbxContent>
              </v:textbox>
              <w10:wrap anchorx="page" anchory="page"/>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53A37BE" w:rsidR="00533132" w:rsidRDefault="007B688B">
    <w:pPr>
      <w:pStyle w:val="Kopfzeile"/>
    </w:pPr>
    <w:r>
      <w:rPr>
        <w:noProof/>
        <w:lang w:eastAsia="zh-CN"/>
      </w:rPr>
      <mc:AlternateContent>
        <mc:Choice Requires="wps">
          <w:drawing>
            <wp:anchor distT="0" distB="0" distL="0" distR="0" simplePos="0" relativeHeight="251660288" behindDoc="0" locked="0" layoutInCell="1" allowOverlap="1" wp14:anchorId="1579312B" wp14:editId="5C261164">
              <wp:simplePos x="635" y="635"/>
              <wp:positionH relativeFrom="page">
                <wp:align>right</wp:align>
              </wp:positionH>
              <wp:positionV relativeFrom="page">
                <wp:align>top</wp:align>
              </wp:positionV>
              <wp:extent cx="443865" cy="443865"/>
              <wp:effectExtent l="0" t="0" r="0" b="16510"/>
              <wp:wrapNone/>
              <wp:docPr id="305990139"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D2A86B" w14:textId="3F93E970" w:rsidR="007B688B" w:rsidRPr="007B688B" w:rsidRDefault="007B688B" w:rsidP="007B688B">
                          <w:pPr>
                            <w:rPr>
                              <w:rFonts w:ascii="Calibri" w:eastAsia="Calibri" w:hAnsi="Calibri" w:cs="Calibri"/>
                              <w:noProof/>
                              <w:color w:val="FF0000"/>
                              <w:sz w:val="20"/>
                              <w:szCs w:val="20"/>
                            </w:rPr>
                          </w:pPr>
                          <w:r w:rsidRPr="007B688B">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79312B"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FD2A86B" w14:textId="3F93E970" w:rsidR="007B688B" w:rsidRPr="007B688B" w:rsidRDefault="007B688B" w:rsidP="007B688B">
                    <w:pPr>
                      <w:rPr>
                        <w:rFonts w:ascii="Calibri" w:eastAsia="Calibri" w:hAnsi="Calibri" w:cs="Calibri"/>
                        <w:noProof/>
                        <w:color w:val="FF0000"/>
                        <w:sz w:val="20"/>
                        <w:szCs w:val="20"/>
                      </w:rPr>
                    </w:pPr>
                    <w:r w:rsidRPr="007B688B">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13C"/>
    <w:rsid w:val="00004F75"/>
    <w:rsid w:val="0000551D"/>
    <w:rsid w:val="00005EF2"/>
    <w:rsid w:val="000064D7"/>
    <w:rsid w:val="0000745C"/>
    <w:rsid w:val="000148B3"/>
    <w:rsid w:val="00017575"/>
    <w:rsid w:val="00022EC1"/>
    <w:rsid w:val="00024BFC"/>
    <w:rsid w:val="000278CB"/>
    <w:rsid w:val="000401F1"/>
    <w:rsid w:val="00042106"/>
    <w:rsid w:val="0005285B"/>
    <w:rsid w:val="000537C5"/>
    <w:rsid w:val="00055529"/>
    <w:rsid w:val="00056224"/>
    <w:rsid w:val="00062C3A"/>
    <w:rsid w:val="00066D09"/>
    <w:rsid w:val="000903BA"/>
    <w:rsid w:val="0009665C"/>
    <w:rsid w:val="000A0479"/>
    <w:rsid w:val="000A36D9"/>
    <w:rsid w:val="000A4C7D"/>
    <w:rsid w:val="000B4EF0"/>
    <w:rsid w:val="000B582B"/>
    <w:rsid w:val="000C7C82"/>
    <w:rsid w:val="000D15C3"/>
    <w:rsid w:val="000D357E"/>
    <w:rsid w:val="000E24F8"/>
    <w:rsid w:val="000E4862"/>
    <w:rsid w:val="000E5738"/>
    <w:rsid w:val="000F3749"/>
    <w:rsid w:val="00103205"/>
    <w:rsid w:val="00103F20"/>
    <w:rsid w:val="0011795C"/>
    <w:rsid w:val="0012026F"/>
    <w:rsid w:val="00130601"/>
    <w:rsid w:val="00132055"/>
    <w:rsid w:val="00134338"/>
    <w:rsid w:val="00143885"/>
    <w:rsid w:val="00146C3D"/>
    <w:rsid w:val="00153B47"/>
    <w:rsid w:val="001613A6"/>
    <w:rsid w:val="001614F0"/>
    <w:rsid w:val="001616F4"/>
    <w:rsid w:val="0018021A"/>
    <w:rsid w:val="00182D69"/>
    <w:rsid w:val="0018562C"/>
    <w:rsid w:val="00185836"/>
    <w:rsid w:val="00193CE0"/>
    <w:rsid w:val="00194FB1"/>
    <w:rsid w:val="0019766C"/>
    <w:rsid w:val="001B16BB"/>
    <w:rsid w:val="001B34EE"/>
    <w:rsid w:val="001C1A3E"/>
    <w:rsid w:val="001F359E"/>
    <w:rsid w:val="00200355"/>
    <w:rsid w:val="0021351D"/>
    <w:rsid w:val="00227AA2"/>
    <w:rsid w:val="00230B87"/>
    <w:rsid w:val="00253A2E"/>
    <w:rsid w:val="002603EC"/>
    <w:rsid w:val="00282AFC"/>
    <w:rsid w:val="00286C15"/>
    <w:rsid w:val="00291FEF"/>
    <w:rsid w:val="0029634D"/>
    <w:rsid w:val="002A6B6E"/>
    <w:rsid w:val="002C6F4F"/>
    <w:rsid w:val="002C7542"/>
    <w:rsid w:val="002D065C"/>
    <w:rsid w:val="002D0780"/>
    <w:rsid w:val="002D1038"/>
    <w:rsid w:val="002D2EE5"/>
    <w:rsid w:val="002D63E6"/>
    <w:rsid w:val="002E619D"/>
    <w:rsid w:val="002E6AC6"/>
    <w:rsid w:val="002E765F"/>
    <w:rsid w:val="002E7E4E"/>
    <w:rsid w:val="002F108B"/>
    <w:rsid w:val="002F5818"/>
    <w:rsid w:val="002F70FD"/>
    <w:rsid w:val="002F7E0B"/>
    <w:rsid w:val="0030316D"/>
    <w:rsid w:val="0032774C"/>
    <w:rsid w:val="00332D28"/>
    <w:rsid w:val="0033422D"/>
    <w:rsid w:val="00340E41"/>
    <w:rsid w:val="0034191A"/>
    <w:rsid w:val="00343CC7"/>
    <w:rsid w:val="00364337"/>
    <w:rsid w:val="0036561D"/>
    <w:rsid w:val="003665BE"/>
    <w:rsid w:val="00380708"/>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5FCB"/>
    <w:rsid w:val="00430BB0"/>
    <w:rsid w:val="004317B8"/>
    <w:rsid w:val="00445D91"/>
    <w:rsid w:val="0046343E"/>
    <w:rsid w:val="00467F3C"/>
    <w:rsid w:val="0047498D"/>
    <w:rsid w:val="00476100"/>
    <w:rsid w:val="00487BFC"/>
    <w:rsid w:val="004A1833"/>
    <w:rsid w:val="004B3E60"/>
    <w:rsid w:val="004C1967"/>
    <w:rsid w:val="004D23D0"/>
    <w:rsid w:val="004D2BE0"/>
    <w:rsid w:val="004E0A77"/>
    <w:rsid w:val="004E61FD"/>
    <w:rsid w:val="004E6EF5"/>
    <w:rsid w:val="004E74CA"/>
    <w:rsid w:val="004F7C79"/>
    <w:rsid w:val="00506409"/>
    <w:rsid w:val="00530E32"/>
    <w:rsid w:val="00533132"/>
    <w:rsid w:val="00534889"/>
    <w:rsid w:val="005366BF"/>
    <w:rsid w:val="00537210"/>
    <w:rsid w:val="00541C9E"/>
    <w:rsid w:val="005649F4"/>
    <w:rsid w:val="005710C8"/>
    <w:rsid w:val="005711A3"/>
    <w:rsid w:val="00571A5C"/>
    <w:rsid w:val="00573B2B"/>
    <w:rsid w:val="005776E9"/>
    <w:rsid w:val="00587AD9"/>
    <w:rsid w:val="005909A8"/>
    <w:rsid w:val="005931CB"/>
    <w:rsid w:val="00593596"/>
    <w:rsid w:val="005A2B78"/>
    <w:rsid w:val="005A4F04"/>
    <w:rsid w:val="005B5793"/>
    <w:rsid w:val="005C1AAE"/>
    <w:rsid w:val="005C6B30"/>
    <w:rsid w:val="005C71EC"/>
    <w:rsid w:val="005D7B09"/>
    <w:rsid w:val="005E764C"/>
    <w:rsid w:val="005F16C3"/>
    <w:rsid w:val="005F2C67"/>
    <w:rsid w:val="006063D4"/>
    <w:rsid w:val="00612D6C"/>
    <w:rsid w:val="00612E24"/>
    <w:rsid w:val="00615CDA"/>
    <w:rsid w:val="00623B37"/>
    <w:rsid w:val="006274EE"/>
    <w:rsid w:val="006330A2"/>
    <w:rsid w:val="00642EB6"/>
    <w:rsid w:val="006433E2"/>
    <w:rsid w:val="00651E5D"/>
    <w:rsid w:val="00677F11"/>
    <w:rsid w:val="00682B1A"/>
    <w:rsid w:val="00690D7C"/>
    <w:rsid w:val="00690DFE"/>
    <w:rsid w:val="00691678"/>
    <w:rsid w:val="006B3EEC"/>
    <w:rsid w:val="006C0C87"/>
    <w:rsid w:val="006D4BE1"/>
    <w:rsid w:val="006D7EAC"/>
    <w:rsid w:val="006E0104"/>
    <w:rsid w:val="006F7602"/>
    <w:rsid w:val="007100BC"/>
    <w:rsid w:val="00714D6B"/>
    <w:rsid w:val="00722A17"/>
    <w:rsid w:val="00723F4F"/>
    <w:rsid w:val="00730EC2"/>
    <w:rsid w:val="00734DA4"/>
    <w:rsid w:val="00755AE0"/>
    <w:rsid w:val="0075761B"/>
    <w:rsid w:val="00757B83"/>
    <w:rsid w:val="00771705"/>
    <w:rsid w:val="00773697"/>
    <w:rsid w:val="00774358"/>
    <w:rsid w:val="00791A69"/>
    <w:rsid w:val="0079462A"/>
    <w:rsid w:val="00794830"/>
    <w:rsid w:val="00797CAA"/>
    <w:rsid w:val="007A2B6F"/>
    <w:rsid w:val="007A46B3"/>
    <w:rsid w:val="007A6BD2"/>
    <w:rsid w:val="007B00DF"/>
    <w:rsid w:val="007B688B"/>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084A"/>
    <w:rsid w:val="008427F2"/>
    <w:rsid w:val="00843B45"/>
    <w:rsid w:val="0084571C"/>
    <w:rsid w:val="00863129"/>
    <w:rsid w:val="00866830"/>
    <w:rsid w:val="00870ACE"/>
    <w:rsid w:val="00873125"/>
    <w:rsid w:val="008755E5"/>
    <w:rsid w:val="00880ED3"/>
    <w:rsid w:val="00881E44"/>
    <w:rsid w:val="00892F6F"/>
    <w:rsid w:val="00896F7E"/>
    <w:rsid w:val="008B1EB7"/>
    <w:rsid w:val="008B26C6"/>
    <w:rsid w:val="008C2A29"/>
    <w:rsid w:val="008C2DB2"/>
    <w:rsid w:val="008D26D8"/>
    <w:rsid w:val="008D770E"/>
    <w:rsid w:val="008E5008"/>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04FF"/>
    <w:rsid w:val="0098631D"/>
    <w:rsid w:val="009877C8"/>
    <w:rsid w:val="00990DCE"/>
    <w:rsid w:val="009B17A9"/>
    <w:rsid w:val="009B211F"/>
    <w:rsid w:val="009B2E35"/>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622D"/>
    <w:rsid w:val="00A27829"/>
    <w:rsid w:val="00A30886"/>
    <w:rsid w:val="00A46F1E"/>
    <w:rsid w:val="00A82395"/>
    <w:rsid w:val="00A930D1"/>
    <w:rsid w:val="00A9389A"/>
    <w:rsid w:val="00A96B2E"/>
    <w:rsid w:val="00A977CE"/>
    <w:rsid w:val="00AB52F9"/>
    <w:rsid w:val="00AC3138"/>
    <w:rsid w:val="00AC6F42"/>
    <w:rsid w:val="00AD131F"/>
    <w:rsid w:val="00AD32D5"/>
    <w:rsid w:val="00AD70E4"/>
    <w:rsid w:val="00AF0498"/>
    <w:rsid w:val="00AF3B3A"/>
    <w:rsid w:val="00AF4E8E"/>
    <w:rsid w:val="00AF6569"/>
    <w:rsid w:val="00B06265"/>
    <w:rsid w:val="00B115B5"/>
    <w:rsid w:val="00B409DF"/>
    <w:rsid w:val="00B5232A"/>
    <w:rsid w:val="00B60ED1"/>
    <w:rsid w:val="00B62CF5"/>
    <w:rsid w:val="00B63C90"/>
    <w:rsid w:val="00B65A46"/>
    <w:rsid w:val="00B70425"/>
    <w:rsid w:val="00B71DE1"/>
    <w:rsid w:val="00B85705"/>
    <w:rsid w:val="00B874DC"/>
    <w:rsid w:val="00B90F78"/>
    <w:rsid w:val="00B91123"/>
    <w:rsid w:val="00B937EB"/>
    <w:rsid w:val="00B94B16"/>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293C"/>
    <w:rsid w:val="00C73005"/>
    <w:rsid w:val="00C84FDC"/>
    <w:rsid w:val="00C85E18"/>
    <w:rsid w:val="00C96E9F"/>
    <w:rsid w:val="00CA35E3"/>
    <w:rsid w:val="00CA4A09"/>
    <w:rsid w:val="00CA4F06"/>
    <w:rsid w:val="00CB7DAC"/>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20B4"/>
    <w:rsid w:val="00E04039"/>
    <w:rsid w:val="00E14608"/>
    <w:rsid w:val="00E14CF1"/>
    <w:rsid w:val="00E15EBE"/>
    <w:rsid w:val="00E21E67"/>
    <w:rsid w:val="00E30EBF"/>
    <w:rsid w:val="00E316C0"/>
    <w:rsid w:val="00E31E03"/>
    <w:rsid w:val="00E424CB"/>
    <w:rsid w:val="00E51170"/>
    <w:rsid w:val="00E52D70"/>
    <w:rsid w:val="00E55534"/>
    <w:rsid w:val="00E565DC"/>
    <w:rsid w:val="00E7116D"/>
    <w:rsid w:val="00E72429"/>
    <w:rsid w:val="00E734EC"/>
    <w:rsid w:val="00E83680"/>
    <w:rsid w:val="00E914D1"/>
    <w:rsid w:val="00E960D8"/>
    <w:rsid w:val="00EB488E"/>
    <w:rsid w:val="00EB5FCA"/>
    <w:rsid w:val="00ED7F68"/>
    <w:rsid w:val="00EE1DB1"/>
    <w:rsid w:val="00EF2575"/>
    <w:rsid w:val="00EF5828"/>
    <w:rsid w:val="00F048D4"/>
    <w:rsid w:val="00F12ABF"/>
    <w:rsid w:val="00F207FE"/>
    <w:rsid w:val="00F20920"/>
    <w:rsid w:val="00F23212"/>
    <w:rsid w:val="00F33B16"/>
    <w:rsid w:val="00F353EA"/>
    <w:rsid w:val="00F36C27"/>
    <w:rsid w:val="00F56318"/>
    <w:rsid w:val="00F67C95"/>
    <w:rsid w:val="00F72DEF"/>
    <w:rsid w:val="00F74540"/>
    <w:rsid w:val="00F75B79"/>
    <w:rsid w:val="00F82525"/>
    <w:rsid w:val="00F91AC4"/>
    <w:rsid w:val="00F976DF"/>
    <w:rsid w:val="00F97FEA"/>
    <w:rsid w:val="00FA2DD8"/>
    <w:rsid w:val="00FB3E58"/>
    <w:rsid w:val="00FB5CB4"/>
    <w:rsid w:val="00FB60E1"/>
    <w:rsid w:val="00FC72DA"/>
    <w:rsid w:val="00FD1E6F"/>
    <w:rsid w:val="00FD3768"/>
    <w:rsid w:val="00FD51E9"/>
    <w:rsid w:val="00FE77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0B4EF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youtu.be/KijQGigiWi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793</Words>
  <Characters>5001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5783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6</cp:revision>
  <cp:lastPrinted>2024-09-15T17:28:00Z</cp:lastPrinted>
  <dcterms:created xsi:type="dcterms:W3CDTF">2024-10-08T09:37:00Z</dcterms:created>
  <dcterms:modified xsi:type="dcterms:W3CDTF">2024-10-08T11:30:00Z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123d09fb,84126ba,70bb63d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2024-09-17T15:54:39Z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c870d422-5803-434e-a9df-cdf904ceed2d</vt:lpwstr>
  </property>
  <property fmtid="{D5CDD505-2E9C-101B-9397-08002B2CF9AE}" pid="11" name="MSIP_Label_df1a195f-122b-42dc-a2d3-71a1903dcdac_ContentBits">
    <vt:lpwstr>1</vt:lpwstr>
  </property>
</Properties>
</file>